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9E" w:rsidRDefault="004A228E">
      <w:pPr>
        <w:spacing w:after="300" w:line="276" w:lineRule="auto"/>
        <w:jc w:val="center"/>
      </w:pPr>
      <w:r>
        <w:rPr>
          <w:rFonts w:ascii="Times New Roman" w:eastAsia="Times New Roman" w:hAnsi="Times New Roman" w:cs="Times New Roman"/>
          <w:b/>
          <w:sz w:val="26"/>
        </w:rPr>
        <w:t>Chi tiết thủ tục hành chính</w:t>
      </w:r>
    </w:p>
    <w:p w:rsidR="00041F9E" w:rsidRDefault="004A228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1.012817</w:t>
      </w:r>
    </w:p>
    <w:p w:rsidR="00041F9E" w:rsidRDefault="004A228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2304/QĐ-BNNMT</w:t>
      </w:r>
    </w:p>
    <w:p w:rsidR="00041F9E" w:rsidRDefault="004A228E">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Xác định lại diện tích đất ở của hộ gia đình, cá nhân đã được cấp Giấy chứng nhận trước ngày 01 tháng 7 năm 2004</w:t>
      </w:r>
    </w:p>
    <w:bookmarkEnd w:id="0"/>
    <w:p w:rsidR="00041F9E" w:rsidRDefault="004A228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041F9E" w:rsidRDefault="004A228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được luật </w:t>
      </w:r>
      <w:r>
        <w:rPr>
          <w:rFonts w:ascii="Times New Roman" w:eastAsia="Times New Roman" w:hAnsi="Times New Roman" w:cs="Times New Roman"/>
          <w:sz w:val="26"/>
        </w:rPr>
        <w:t>giao quy định chi tiết</w:t>
      </w:r>
    </w:p>
    <w:p w:rsidR="00041F9E" w:rsidRDefault="004A228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Đất đai</w:t>
      </w:r>
    </w:p>
    <w:p w:rsidR="00041F9E" w:rsidRDefault="004A228E">
      <w:pPr>
        <w:spacing w:after="0" w:line="276" w:lineRule="auto"/>
        <w:jc w:val="both"/>
      </w:pPr>
      <w:r>
        <w:rPr>
          <w:rFonts w:ascii="Times New Roman" w:eastAsia="Times New Roman" w:hAnsi="Times New Roman" w:cs="Times New Roman"/>
          <w:b/>
          <w:sz w:val="26"/>
        </w:rPr>
        <w:t xml:space="preserve">Trình tự thực hiện: </w:t>
      </w:r>
    </w:p>
    <w:p w:rsidR="00041F9E" w:rsidRDefault="00041F9E">
      <w:pPr>
        <w:shd w:val="clear" w:color="auto" w:fill="F2F6F9"/>
        <w:spacing w:before="120" w:after="0" w:line="276" w:lineRule="auto"/>
        <w:jc w:val="both"/>
      </w:pPr>
    </w:p>
    <w:p w:rsidR="00041F9E" w:rsidRDefault="004A228E">
      <w:pPr>
        <w:spacing w:after="0" w:line="276" w:lineRule="auto"/>
        <w:jc w:val="both"/>
      </w:pPr>
      <w:r>
        <w:rPr>
          <w:rFonts w:ascii="Times New Roman" w:eastAsia="Times New Roman" w:hAnsi="Times New Roman" w:cs="Times New Roman"/>
          <w:sz w:val="26"/>
        </w:rPr>
        <w:t xml:space="preserve">Bước 1: Người yêu cầu đăng ký nộp hồ sơ đến Trung tâm Phục vụ hành chính công.  Khi nộp các giấy tờ quy định, người yêu cầu đăng ký được lựa chọn nộp bản sao giấy tờ và xuất trình bản chính để </w:t>
      </w:r>
      <w:r>
        <w:rPr>
          <w:rFonts w:ascii="Times New Roman" w:eastAsia="Times New Roman" w:hAnsi="Times New Roman" w:cs="Times New Roman"/>
          <w:sz w:val="26"/>
        </w:rPr>
        <w:t xml:space="preserve">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w:t>
      </w:r>
      <w:r>
        <w:rPr>
          <w:rFonts w:ascii="Times New Roman" w:eastAsia="Times New Roman" w:hAnsi="Times New Roman" w:cs="Times New Roman"/>
          <w:sz w:val="26"/>
        </w:rPr>
        <w:t>hóa từ bản chính hoặc bản sao giấy tờ đã được công chứng, chứng thực theo quy định của pháp luật. Trường hợp nộp bản sao hoặc bản số hóa các loại giấy tờ thì khi nhận kết quả giải quyết thủ tục hành chính người yêu cầu đăng ký phải nộp bản chính các giấy t</w:t>
      </w:r>
      <w:r>
        <w:rPr>
          <w:rFonts w:ascii="Times New Roman" w:eastAsia="Times New Roman" w:hAnsi="Times New Roman" w:cs="Times New Roman"/>
          <w:sz w:val="26"/>
        </w:rPr>
        <w:t>ờ thuộc thành phần hồ sơ theo quy định. Bước 2: Cơ quan tiếp nhận hồ sơ thực hiện:  - Kiểm tra tính đầy đủ của thành phần hồ sơ và cấp Giấy tiếp nhận hồ sơ và hẹn trả kết quả. Trường hợp chưa đầy đủ thành phần hồ sơ thì trả hồ sơ kèm Phiếu yêu cầu bổ sung,</w:t>
      </w:r>
      <w:r>
        <w:rPr>
          <w:rFonts w:ascii="Times New Roman" w:eastAsia="Times New Roman" w:hAnsi="Times New Roman" w:cs="Times New Roman"/>
          <w:sz w:val="26"/>
        </w:rPr>
        <w:t xml:space="preserve"> hoàn thiện hồ sơ để người yêu cầu đăng ký hoàn thiện, bổ sung theo quy định. - Chuyển hồ sơ đến cơ quan có chức năng quản lý đất đai cấp xã. Bước 3: Cơ quan có chức năng quản lý đất đai cấp xã thực hiện: - Thông báo cho Chi nhánh Văn phòng đăng ký đất đai</w:t>
      </w:r>
      <w:r>
        <w:rPr>
          <w:rFonts w:ascii="Times New Roman" w:eastAsia="Times New Roman" w:hAnsi="Times New Roman" w:cs="Times New Roman"/>
          <w:sz w:val="26"/>
        </w:rPr>
        <w:t xml:space="preserve"> cung cấp hồ sơ cấp giấy chứng nhận lần đầu. -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w:t>
      </w:r>
      <w:r>
        <w:rPr>
          <w:rFonts w:ascii="Times New Roman" w:eastAsia="Times New Roman" w:hAnsi="Times New Roman" w:cs="Times New Roman"/>
          <w:sz w:val="26"/>
        </w:rPr>
        <w:t>ch đất ở và cấp Giấy chứng nhận cho người sử dụng đất.  - Chuyển Giấy chứng nhận đến cơ quan tiếp nhận hồ sơ để trao cho người được cấp. - Chuyển hồ sơ kèm theo bản sao Giấy chứng nhận đã cấp đến Chi nhánh Văn phòng đăng ký đất đai để chỉnh lý, cập nhật bi</w:t>
      </w:r>
      <w:r>
        <w:rPr>
          <w:rFonts w:ascii="Times New Roman" w:eastAsia="Times New Roman" w:hAnsi="Times New Roman" w:cs="Times New Roman"/>
          <w:sz w:val="26"/>
        </w:rPr>
        <w:t>ến động vào hồ sơ địa chính, cơ sở dữ liệu đất đai.</w:t>
      </w:r>
    </w:p>
    <w:p w:rsidR="00041F9E" w:rsidRDefault="004A228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67"/>
        <w:gridCol w:w="910"/>
        <w:gridCol w:w="2952"/>
        <w:gridCol w:w="4692"/>
      </w:tblGrid>
      <w:tr w:rsidR="00041F9E">
        <w:tblPrEx>
          <w:tblCellMar>
            <w:top w:w="0" w:type="dxa"/>
            <w:bottom w:w="0" w:type="dxa"/>
          </w:tblCellMar>
        </w:tblPrEx>
        <w:tc>
          <w:tcPr>
            <w:tcW w:w="15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Hình thức nộp</w:t>
            </w:r>
          </w:p>
        </w:tc>
        <w:tc>
          <w:tcPr>
            <w:tcW w:w="20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Thời hạn giải quyết</w:t>
            </w:r>
          </w:p>
        </w:tc>
        <w:tc>
          <w:tcPr>
            <w:tcW w:w="35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Phí, lệ phí</w:t>
            </w:r>
          </w:p>
        </w:tc>
        <w:tc>
          <w:tcPr>
            <w:tcW w:w="30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Mô tả</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lastRenderedPageBreak/>
              <w:t>Trực tiếp</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lastRenderedPageBreak/>
              <w:t>20 Ngày làm việc</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lastRenderedPageBreak/>
              <w:t>Phí :  Đồng</w:t>
            </w:r>
            <w:r>
              <w:rPr>
                <w:rFonts w:ascii="Times New Roman" w:eastAsia="Times New Roman" w:hAnsi="Times New Roman" w:cs="Times New Roman"/>
                <w:sz w:val="26"/>
              </w:rPr>
              <w:t xml:space="preserve"> (Theo quy định của Luật phí và lệ phí và các văn bản quy phạm pháp luật hướng dẫn Luật phí và lệ phí.)</w:t>
            </w:r>
          </w:p>
        </w:tc>
        <w:tc>
          <w:tcPr>
            <w:tcW w:w="0" w:type="auto"/>
          </w:tcPr>
          <w:p w:rsidR="00041F9E" w:rsidRDefault="00041F9E"/>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Trực tiếp</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30 Ngày làm việc</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 xml:space="preserve">Đối </w:t>
            </w:r>
            <w:r>
              <w:rPr>
                <w:rFonts w:ascii="Times New Roman" w:eastAsia="Times New Roman" w:hAnsi="Times New Roman" w:cs="Times New Roman"/>
                <w:sz w:val="26"/>
              </w:rPr>
              <w:t>với các xã miền núi, hải đảo, vùng sâu, vùng xa, vùng có điều kiện kinh tế - xã hội khó khăn, vùng có điều kiện kinh tế - xã hội đặc biệt khó khăn thì thời gian thực hiện không quá 30 ngày làm việc.</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Trực tuyến</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20 Ngày làm việc</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Phí :  Đồng (Theo quy địn</w:t>
            </w:r>
            <w:r>
              <w:rPr>
                <w:rFonts w:ascii="Times New Roman" w:eastAsia="Times New Roman" w:hAnsi="Times New Roman" w:cs="Times New Roman"/>
                <w:sz w:val="26"/>
              </w:rPr>
              <w:t>h của Luật phí và lệ phí và các văn bản quy phạm pháp luật hướng dẫn Luật phí và lệ phí.)</w:t>
            </w:r>
          </w:p>
        </w:tc>
        <w:tc>
          <w:tcPr>
            <w:tcW w:w="0" w:type="auto"/>
          </w:tcPr>
          <w:p w:rsidR="00041F9E" w:rsidRDefault="00041F9E"/>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Trực tuyến</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30 Ngày làm việc</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 xml:space="preserve">Đối với các xã </w:t>
            </w:r>
            <w:r>
              <w:rPr>
                <w:rFonts w:ascii="Times New Roman" w:eastAsia="Times New Roman" w:hAnsi="Times New Roman" w:cs="Times New Roman"/>
                <w:sz w:val="26"/>
              </w:rPr>
              <w:t>miền núi, hải đảo, vùng sâu, vùng xa, vùng có điều kiện kinh tế - xã hội khó khăn, vùng có điều kiện kinh tế - xã hội đặc biệt khó khăn thì thời gian thực hiện không quá 30 ngày làm việc.</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Dịch vụ bưu chính</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20 Ngày làm việc</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Phí :  Đồng (Theo quy định củ</w:t>
            </w:r>
            <w:r>
              <w:rPr>
                <w:rFonts w:ascii="Times New Roman" w:eastAsia="Times New Roman" w:hAnsi="Times New Roman" w:cs="Times New Roman"/>
                <w:sz w:val="26"/>
              </w:rPr>
              <w:t>a Luật phí và lệ phí và các văn bản quy phạm pháp luật hướng dẫn Luật phí và lệ phí.)</w:t>
            </w:r>
          </w:p>
        </w:tc>
        <w:tc>
          <w:tcPr>
            <w:tcW w:w="0" w:type="auto"/>
          </w:tcPr>
          <w:p w:rsidR="00041F9E" w:rsidRDefault="00041F9E"/>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Dịch vụ bưu chính</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30 Ngày làm việc</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Đối với các xã</w:t>
            </w:r>
            <w:r>
              <w:rPr>
                <w:rFonts w:ascii="Times New Roman" w:eastAsia="Times New Roman" w:hAnsi="Times New Roman" w:cs="Times New Roman"/>
                <w:sz w:val="26"/>
              </w:rPr>
              <w:t xml:space="preserve"> miền núi, hải đảo, vùng sâu, vùng xa, vùng có điều kiện kinh tế - xã hội khó khăn, vùng có điều kiện kinh tế - xã hội đặc biệt khó khăn thì thời gian thực hiện không quá 30 ngày làm việc.</w:t>
            </w:r>
          </w:p>
        </w:tc>
      </w:tr>
    </w:tbl>
    <w:p w:rsidR="00041F9E" w:rsidRDefault="004A228E">
      <w:pPr>
        <w:spacing w:before="240" w:after="0" w:line="276" w:lineRule="auto"/>
        <w:jc w:val="both"/>
      </w:pPr>
      <w:r>
        <w:rPr>
          <w:rFonts w:ascii="Times New Roman" w:eastAsia="Times New Roman" w:hAnsi="Times New Roman" w:cs="Times New Roman"/>
          <w:b/>
          <w:sz w:val="26"/>
        </w:rPr>
        <w:t xml:space="preserve">Thành phần hồ sơ: </w:t>
      </w:r>
    </w:p>
    <w:p w:rsidR="00041F9E" w:rsidRDefault="004A228E">
      <w:pPr>
        <w:shd w:val="clear" w:color="auto" w:fill="F2F6F9"/>
        <w:spacing w:before="120" w:after="0" w:line="276" w:lineRule="auto"/>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57"/>
        <w:gridCol w:w="2050"/>
        <w:gridCol w:w="1114"/>
      </w:tblGrid>
      <w:tr w:rsidR="00041F9E">
        <w:tblPrEx>
          <w:tblCellMar>
            <w:top w:w="0" w:type="dxa"/>
            <w:bottom w:w="0" w:type="dxa"/>
          </w:tblCellMar>
        </w:tblPrEx>
        <w:tc>
          <w:tcPr>
            <w:tcW w:w="60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Tên giấy tờ</w:t>
            </w:r>
          </w:p>
        </w:tc>
        <w:tc>
          <w:tcPr>
            <w:tcW w:w="20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Mẫu đơn, tờ khai</w:t>
            </w:r>
          </w:p>
        </w:tc>
        <w:tc>
          <w:tcPr>
            <w:tcW w:w="20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t>lượng</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Đơn đăng ký biến động đất đai, tài sản gắn liền với đất theo Mẫu số 18</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Mus18DKBD.docx</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1. Bản gốc Giấy chứng nhận đã cấp.</w:t>
            </w:r>
          </w:p>
        </w:tc>
        <w:tc>
          <w:tcPr>
            <w:tcW w:w="0" w:type="auto"/>
          </w:tcPr>
          <w:p w:rsidR="00041F9E" w:rsidRDefault="00041F9E"/>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 xml:space="preserve">Văn bản về việc đại diện theo quy định của pháp luật về dân sự đối với </w:t>
            </w:r>
            <w:r>
              <w:rPr>
                <w:rFonts w:ascii="Times New Roman" w:eastAsia="Times New Roman" w:hAnsi="Times New Roman" w:cs="Times New Roman"/>
                <w:sz w:val="26"/>
              </w:rPr>
              <w:t>trường hợp thực hiện thủ tục đăng ký đất đai, tài sản gắn liền với đất thông qua người đại diện.</w:t>
            </w:r>
          </w:p>
        </w:tc>
        <w:tc>
          <w:tcPr>
            <w:tcW w:w="0" w:type="auto"/>
          </w:tcPr>
          <w:p w:rsidR="00041F9E" w:rsidRDefault="00041F9E"/>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041F9E" w:rsidRDefault="004A228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041F9E" w:rsidRDefault="004A228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Chủ tịch Ủy ban nhân dân xã</w:t>
      </w:r>
    </w:p>
    <w:p w:rsidR="00041F9E" w:rsidRDefault="004A228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041F9E" w:rsidRDefault="004A228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041F9E" w:rsidRDefault="004A228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41F9E" w:rsidRDefault="004A228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041F9E" w:rsidRDefault="004A228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w:t>
      </w:r>
    </w:p>
    <w:p w:rsidR="00041F9E" w:rsidRDefault="004A228E">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017"/>
        <w:gridCol w:w="5125"/>
        <w:gridCol w:w="883"/>
        <w:gridCol w:w="1396"/>
      </w:tblGrid>
      <w:tr w:rsidR="00041F9E">
        <w:tblPrEx>
          <w:tblCellMar>
            <w:top w:w="0" w:type="dxa"/>
            <w:bottom w:w="0" w:type="dxa"/>
          </w:tblCellMar>
        </w:tblPrEx>
        <w:tc>
          <w:tcPr>
            <w:tcW w:w="20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Số ký hiệu</w:t>
            </w:r>
          </w:p>
        </w:tc>
        <w:tc>
          <w:tcPr>
            <w:tcW w:w="35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Trích yếu</w:t>
            </w:r>
          </w:p>
        </w:tc>
        <w:tc>
          <w:tcPr>
            <w:tcW w:w="15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Ngày ban hành</w:t>
            </w:r>
          </w:p>
        </w:tc>
        <w:tc>
          <w:tcPr>
            <w:tcW w:w="3000" w:type="dxa"/>
          </w:tcPr>
          <w:p w:rsidR="00041F9E" w:rsidRDefault="00041F9E"/>
          <w:p w:rsidR="00041F9E" w:rsidRDefault="004A228E">
            <w:pPr>
              <w:spacing w:after="0" w:line="276" w:lineRule="auto"/>
              <w:jc w:val="center"/>
            </w:pPr>
            <w:r>
              <w:rPr>
                <w:rFonts w:ascii="Times New Roman" w:eastAsia="Times New Roman" w:hAnsi="Times New Roman" w:cs="Times New Roman"/>
                <w:b/>
                <w:sz w:val="26"/>
              </w:rPr>
              <w:t>Cơ quan ban hành</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Nghị định 101/2024/NĐ-CP</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Nghị định 101/2024/NĐ-CP</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29-07-2024</w:t>
            </w:r>
          </w:p>
        </w:tc>
        <w:tc>
          <w:tcPr>
            <w:tcW w:w="0" w:type="auto"/>
          </w:tcPr>
          <w:p w:rsidR="00041F9E" w:rsidRDefault="00041F9E"/>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43/2024/QH15</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Luật số 43/2024/QH15 ngày 29/6/2024</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29-06-2024</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Quốc Hội</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31/2024/QH15</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Luật Đất đai 2024</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01-02-2024</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Quốc Hội</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151/2025/NĐ-CP</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 xml:space="preserve">Quy định về phân định thẩm quyền của chính quyền địa phương 02 cấp, </w:t>
            </w:r>
            <w:r>
              <w:rPr>
                <w:rFonts w:ascii="Times New Roman" w:eastAsia="Times New Roman" w:hAnsi="Times New Roman" w:cs="Times New Roman"/>
                <w:sz w:val="26"/>
              </w:rPr>
              <w:t>phân quyền, phân cấp trong lĩnh vực đất đai</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12-06-2025</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Chính phủ</w:t>
            </w:r>
          </w:p>
        </w:tc>
      </w:tr>
      <w:tr w:rsidR="00041F9E">
        <w:tblPrEx>
          <w:tblCellMar>
            <w:top w:w="0" w:type="dxa"/>
            <w:bottom w:w="0" w:type="dxa"/>
          </w:tblCellMar>
        </w:tblPrEx>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118/2025/NĐ-C</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Thực hiện thủ tục hành chính theo cơ chế một cửa, một cửa liên thông tại Bộ phận Một cửa và cổng Dịch vụ công quốc gia</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09-06-2025</w:t>
            </w:r>
          </w:p>
        </w:tc>
        <w:tc>
          <w:tcPr>
            <w:tcW w:w="0" w:type="auto"/>
          </w:tcPr>
          <w:p w:rsidR="00041F9E" w:rsidRDefault="00041F9E"/>
          <w:p w:rsidR="00041F9E" w:rsidRDefault="004A228E">
            <w:pPr>
              <w:spacing w:after="0" w:line="276" w:lineRule="auto"/>
            </w:pPr>
            <w:r>
              <w:rPr>
                <w:rFonts w:ascii="Times New Roman" w:eastAsia="Times New Roman" w:hAnsi="Times New Roman" w:cs="Times New Roman"/>
                <w:sz w:val="26"/>
              </w:rPr>
              <w:t>Chính phủ</w:t>
            </w:r>
          </w:p>
        </w:tc>
      </w:tr>
    </w:tbl>
    <w:p w:rsidR="00041F9E" w:rsidRDefault="004A228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w:t>
      </w:r>
      <w:r>
        <w:rPr>
          <w:rFonts w:ascii="Times New Roman" w:eastAsia="Times New Roman" w:hAnsi="Times New Roman" w:cs="Times New Roman"/>
          <w:sz w:val="26"/>
        </w:rPr>
        <w:t xml:space="preserve"> người sử dụng đất có giấy tờ về quyền sử dụng đất theo quy định tại Điều 137 Luật Đất đai và nay có nhu cầu xác định lại diện tích đất ở.</w:t>
      </w:r>
    </w:p>
    <w:p w:rsidR="00041F9E" w:rsidRDefault="004A228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041F9E" w:rsidRDefault="004A228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41F9E">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9E"/>
    <w:rsid w:val="00041F9E"/>
    <w:rsid w:val="004A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741F9-7E48-4379-B764-CF029DDC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2025-07-03T07:57:00Z</dcterms:created>
  <dcterms:modified xsi:type="dcterms:W3CDTF">2025-07-03T07:57:00Z</dcterms:modified>
</cp:coreProperties>
</file>